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CF897" w14:textId="499CC2CC" w:rsidR="4588BD6F" w:rsidRDefault="4588BD6F" w:rsidP="7555B3F8">
      <w:pPr>
        <w:pStyle w:val="isselectedend"/>
        <w:spacing w:before="0" w:beforeAutospacing="0" w:after="0" w:afterAutospacing="0"/>
        <w:rPr>
          <w:rStyle w:val="Strong"/>
          <w:rFonts w:eastAsiaTheme="majorEastAsia"/>
          <w:sz w:val="22"/>
          <w:szCs w:val="22"/>
        </w:rPr>
      </w:pPr>
      <w:r w:rsidRPr="7555B3F8">
        <w:rPr>
          <w:rStyle w:val="Strong"/>
          <w:rFonts w:eastAsiaTheme="majorEastAsia"/>
          <w:sz w:val="22"/>
          <w:szCs w:val="22"/>
        </w:rPr>
        <w:t>For immediate release</w:t>
      </w:r>
    </w:p>
    <w:p w14:paraId="78DF4F50" w14:textId="239870B8" w:rsidR="727701FD" w:rsidRDefault="727701FD" w:rsidP="7555B3F8">
      <w:pPr>
        <w:pStyle w:val="isselectedend"/>
        <w:spacing w:before="0" w:beforeAutospacing="0" w:after="0" w:afterAutospacing="0"/>
        <w:rPr>
          <w:rStyle w:val="Strong"/>
          <w:rFonts w:eastAsiaTheme="majorEastAsia"/>
          <w:sz w:val="22"/>
          <w:szCs w:val="22"/>
        </w:rPr>
      </w:pPr>
      <w:r w:rsidRPr="7555B3F8">
        <w:rPr>
          <w:rStyle w:val="Strong"/>
          <w:rFonts w:eastAsiaTheme="majorEastAsia"/>
          <w:sz w:val="22"/>
          <w:szCs w:val="22"/>
        </w:rPr>
        <w:t>28 April 2026</w:t>
      </w:r>
    </w:p>
    <w:p w14:paraId="066B21C2" w14:textId="4C08C2CC" w:rsidR="00D07125" w:rsidRPr="00D07125" w:rsidRDefault="00D07125" w:rsidP="00D07125">
      <w:pPr>
        <w:pStyle w:val="isselectedend"/>
        <w:rPr>
          <w:sz w:val="22"/>
          <w:szCs w:val="22"/>
        </w:rPr>
      </w:pPr>
      <w:r w:rsidRPr="00D07125">
        <w:rPr>
          <w:rStyle w:val="Strong"/>
          <w:rFonts w:eastAsiaTheme="majorEastAsia"/>
          <w:sz w:val="22"/>
          <w:szCs w:val="22"/>
        </w:rPr>
        <w:t xml:space="preserve">MST Global and MineGlow Partner to Deliver Smart Lighting </w:t>
      </w:r>
      <w:r w:rsidR="001C1901">
        <w:rPr>
          <w:rStyle w:val="Strong"/>
          <w:rFonts w:eastAsiaTheme="majorEastAsia"/>
          <w:sz w:val="22"/>
          <w:szCs w:val="22"/>
        </w:rPr>
        <w:t>Solutions</w:t>
      </w:r>
      <w:r w:rsidRPr="00D07125">
        <w:rPr>
          <w:rStyle w:val="Strong"/>
          <w:rFonts w:eastAsiaTheme="majorEastAsia"/>
          <w:sz w:val="22"/>
          <w:szCs w:val="22"/>
        </w:rPr>
        <w:t xml:space="preserve"> for Safer Underground Mines</w:t>
      </w:r>
      <w:r w:rsidR="00D32C08">
        <w:rPr>
          <w:rStyle w:val="Strong"/>
          <w:rFonts w:eastAsiaTheme="majorEastAsia"/>
          <w:sz w:val="22"/>
          <w:szCs w:val="22"/>
        </w:rPr>
        <w:t xml:space="preserve"> – April 2026</w:t>
      </w:r>
    </w:p>
    <w:p w14:paraId="56FAC486" w14:textId="562C9357" w:rsidR="00D07125" w:rsidRPr="00D07125" w:rsidRDefault="00D07125" w:rsidP="00D07125">
      <w:pPr>
        <w:pStyle w:val="isselectedend"/>
        <w:rPr>
          <w:sz w:val="22"/>
          <w:szCs w:val="22"/>
        </w:rPr>
      </w:pPr>
      <w:r w:rsidRPr="00D07125">
        <w:rPr>
          <w:sz w:val="22"/>
          <w:szCs w:val="22"/>
        </w:rPr>
        <w:t xml:space="preserve">MST Global and MineGlow have announced a new technology integration that combines </w:t>
      </w:r>
      <w:r w:rsidR="00E32748">
        <w:rPr>
          <w:sz w:val="22"/>
          <w:szCs w:val="22"/>
        </w:rPr>
        <w:t xml:space="preserve">the </w:t>
      </w:r>
      <w:r w:rsidR="009A2825">
        <w:rPr>
          <w:sz w:val="22"/>
          <w:szCs w:val="22"/>
        </w:rPr>
        <w:t xml:space="preserve">HELIX digital mining platform with </w:t>
      </w:r>
      <w:r w:rsidRPr="00D07125">
        <w:rPr>
          <w:sz w:val="22"/>
          <w:szCs w:val="22"/>
        </w:rPr>
        <w:t xml:space="preserve">MineGlow’s </w:t>
      </w:r>
      <w:r w:rsidR="00732FA4">
        <w:rPr>
          <w:sz w:val="22"/>
          <w:szCs w:val="22"/>
        </w:rPr>
        <w:t xml:space="preserve">em-Control </w:t>
      </w:r>
      <w:r w:rsidRPr="00D07125">
        <w:rPr>
          <w:sz w:val="22"/>
          <w:szCs w:val="22"/>
        </w:rPr>
        <w:t xml:space="preserve">advanced underground </w:t>
      </w:r>
      <w:r w:rsidR="00732FA4">
        <w:rPr>
          <w:sz w:val="22"/>
          <w:szCs w:val="22"/>
        </w:rPr>
        <w:t>visual alerting system</w:t>
      </w:r>
      <w:r w:rsidR="009A2825">
        <w:rPr>
          <w:sz w:val="22"/>
          <w:szCs w:val="22"/>
        </w:rPr>
        <w:t>;</w:t>
      </w:r>
      <w:r w:rsidRPr="00D07125">
        <w:rPr>
          <w:sz w:val="22"/>
          <w:szCs w:val="22"/>
        </w:rPr>
        <w:t xml:space="preserve"> delivering </w:t>
      </w:r>
      <w:r w:rsidR="00A2156F">
        <w:rPr>
          <w:sz w:val="22"/>
          <w:szCs w:val="22"/>
        </w:rPr>
        <w:t xml:space="preserve">MST’s </w:t>
      </w:r>
      <w:r w:rsidRPr="00D07125">
        <w:rPr>
          <w:sz w:val="22"/>
          <w:szCs w:val="22"/>
        </w:rPr>
        <w:t xml:space="preserve">next-generation </w:t>
      </w:r>
      <w:r w:rsidRPr="00D07125">
        <w:rPr>
          <w:rStyle w:val="Strong"/>
          <w:rFonts w:eastAsiaTheme="majorEastAsia"/>
          <w:sz w:val="22"/>
          <w:szCs w:val="22"/>
        </w:rPr>
        <w:t xml:space="preserve">Smart Lighting </w:t>
      </w:r>
      <w:r w:rsidR="001C1901">
        <w:rPr>
          <w:rStyle w:val="Strong"/>
          <w:rFonts w:eastAsiaTheme="majorEastAsia"/>
          <w:sz w:val="22"/>
          <w:szCs w:val="22"/>
        </w:rPr>
        <w:t>S</w:t>
      </w:r>
      <w:r w:rsidRPr="00D07125">
        <w:rPr>
          <w:rStyle w:val="Strong"/>
          <w:rFonts w:eastAsiaTheme="majorEastAsia"/>
          <w:sz w:val="22"/>
          <w:szCs w:val="22"/>
        </w:rPr>
        <w:t>olution</w:t>
      </w:r>
      <w:r w:rsidRPr="00D07125">
        <w:rPr>
          <w:sz w:val="22"/>
          <w:szCs w:val="22"/>
        </w:rPr>
        <w:t xml:space="preserve"> designed to enhance visibility, safety and operational awareness in underground mining environments.</w:t>
      </w:r>
    </w:p>
    <w:p w14:paraId="6D523998" w14:textId="2A8A9175" w:rsidR="00D07125" w:rsidRPr="00D07125" w:rsidRDefault="00D07125" w:rsidP="00D07125">
      <w:pPr>
        <w:pStyle w:val="isselectedend"/>
        <w:rPr>
          <w:sz w:val="22"/>
          <w:szCs w:val="22"/>
        </w:rPr>
      </w:pPr>
      <w:r w:rsidRPr="00D07125">
        <w:rPr>
          <w:sz w:val="22"/>
          <w:szCs w:val="22"/>
        </w:rPr>
        <w:t>MineGlow is widely recognised for its industrial-grade LED strip lighting solutions engineered specifically for hazardous environments such as underground mines, tunnels and oil and gas facilities. Designed to provide consistent, glare-free illumination and “daylight-like” visibility, the lighting systems help eliminate dark spots, improve working conditions and reduce the risk of safety incidents in challenging underground environments.</w:t>
      </w:r>
    </w:p>
    <w:p w14:paraId="06787229" w14:textId="071D6606" w:rsidR="00D07125" w:rsidRPr="00D07125" w:rsidRDefault="00D07125" w:rsidP="00D07125">
      <w:pPr>
        <w:pStyle w:val="isselectedend"/>
        <w:rPr>
          <w:sz w:val="22"/>
          <w:szCs w:val="22"/>
        </w:rPr>
      </w:pPr>
      <w:r w:rsidRPr="00D07125">
        <w:rPr>
          <w:sz w:val="22"/>
          <w:szCs w:val="22"/>
        </w:rPr>
        <w:t xml:space="preserve">Through integration with the </w:t>
      </w:r>
      <w:r w:rsidRPr="00D07125">
        <w:rPr>
          <w:rStyle w:val="Strong"/>
          <w:rFonts w:eastAsiaTheme="majorEastAsia"/>
          <w:sz w:val="22"/>
          <w:szCs w:val="22"/>
        </w:rPr>
        <w:t>HELIX platform</w:t>
      </w:r>
      <w:r w:rsidRPr="00D07125">
        <w:rPr>
          <w:sz w:val="22"/>
          <w:szCs w:val="22"/>
        </w:rPr>
        <w:t xml:space="preserve">, MineGlow’s high-performance </w:t>
      </w:r>
      <w:r w:rsidR="004732AB">
        <w:rPr>
          <w:sz w:val="22"/>
          <w:szCs w:val="22"/>
        </w:rPr>
        <w:t xml:space="preserve">LED </w:t>
      </w:r>
      <w:r w:rsidR="005B7E94">
        <w:rPr>
          <w:sz w:val="22"/>
          <w:szCs w:val="22"/>
        </w:rPr>
        <w:t>strip</w:t>
      </w:r>
      <w:r w:rsidR="004732AB" w:rsidRPr="00D07125">
        <w:rPr>
          <w:sz w:val="22"/>
          <w:szCs w:val="22"/>
        </w:rPr>
        <w:t xml:space="preserve"> </w:t>
      </w:r>
      <w:r w:rsidRPr="00D07125">
        <w:rPr>
          <w:sz w:val="22"/>
          <w:szCs w:val="22"/>
        </w:rPr>
        <w:t xml:space="preserve">lighting can now evolve beyond illumination into an intelligent operational tool. The combined solution enables lighting infrastructure to act as a </w:t>
      </w:r>
      <w:r w:rsidRPr="00D07125">
        <w:rPr>
          <w:rStyle w:val="Strong"/>
          <w:rFonts w:eastAsiaTheme="majorEastAsia"/>
          <w:sz w:val="22"/>
          <w:szCs w:val="22"/>
        </w:rPr>
        <w:t>visual alerting and signalling system</w:t>
      </w:r>
      <w:r w:rsidRPr="00D07125">
        <w:rPr>
          <w:sz w:val="22"/>
          <w:szCs w:val="22"/>
        </w:rPr>
        <w:t xml:space="preserve">, capable of communicating </w:t>
      </w:r>
      <w:r w:rsidR="005B7E94">
        <w:rPr>
          <w:sz w:val="22"/>
          <w:szCs w:val="22"/>
        </w:rPr>
        <w:t xml:space="preserve">real-time </w:t>
      </w:r>
      <w:r w:rsidRPr="00D07125">
        <w:rPr>
          <w:sz w:val="22"/>
          <w:szCs w:val="22"/>
        </w:rPr>
        <w:t>operational information directly within the underground environment.</w:t>
      </w:r>
    </w:p>
    <w:p w14:paraId="55C03EC6" w14:textId="56106225" w:rsidR="00D07125" w:rsidRPr="00D07125" w:rsidRDefault="00D07125" w:rsidP="00D07125">
      <w:pPr>
        <w:pStyle w:val="isselectedend"/>
        <w:rPr>
          <w:sz w:val="22"/>
          <w:szCs w:val="22"/>
        </w:rPr>
      </w:pPr>
      <w:r w:rsidRPr="00D07125">
        <w:rPr>
          <w:sz w:val="22"/>
          <w:szCs w:val="22"/>
        </w:rPr>
        <w:t>By connecting MineGlow</w:t>
      </w:r>
      <w:r w:rsidR="00590052">
        <w:rPr>
          <w:sz w:val="22"/>
          <w:szCs w:val="22"/>
        </w:rPr>
        <w:t xml:space="preserve">’s em-Control system </w:t>
      </w:r>
      <w:r w:rsidRPr="00D07125">
        <w:rPr>
          <w:sz w:val="22"/>
          <w:szCs w:val="22"/>
        </w:rPr>
        <w:t xml:space="preserve">to HELIX’s real-time data environment, mines can trigger dynamic visual alerts across lighting infrastructure to support operational safety and coordination. These alerts can be used for applications such as vehicle movement warnings, traffic management, exclusion zone notifications and emergency </w:t>
      </w:r>
      <w:r w:rsidR="006125A3" w:rsidRPr="00D07125">
        <w:rPr>
          <w:sz w:val="22"/>
          <w:szCs w:val="22"/>
        </w:rPr>
        <w:t>signalling</w:t>
      </w:r>
      <w:r w:rsidRPr="00D07125">
        <w:rPr>
          <w:sz w:val="22"/>
          <w:szCs w:val="22"/>
        </w:rPr>
        <w:t>, providing highly visible cues that complement existing communication and monitoring systems.</w:t>
      </w:r>
    </w:p>
    <w:p w14:paraId="4B350E64" w14:textId="77777777" w:rsidR="00D07125" w:rsidRPr="00D07125" w:rsidRDefault="00D07125" w:rsidP="00D07125">
      <w:pPr>
        <w:pStyle w:val="isselectedend"/>
        <w:rPr>
          <w:sz w:val="22"/>
          <w:szCs w:val="22"/>
        </w:rPr>
      </w:pPr>
      <w:r w:rsidRPr="00D07125">
        <w:rPr>
          <w:sz w:val="22"/>
          <w:szCs w:val="22"/>
        </w:rPr>
        <w:t xml:space="preserve">The integration enables lighting systems to respond directly to events within the digital mine ecosystem, including fleet movements, location-based triggers and operational alerts. This transforms traditional lighting infrastructure into a </w:t>
      </w:r>
      <w:r w:rsidRPr="00D07125">
        <w:rPr>
          <w:rStyle w:val="Strong"/>
          <w:rFonts w:eastAsiaTheme="majorEastAsia"/>
          <w:sz w:val="22"/>
          <w:szCs w:val="22"/>
        </w:rPr>
        <w:t>network-connected safety and productivity tool</w:t>
      </w:r>
      <w:r w:rsidRPr="00D07125">
        <w:rPr>
          <w:sz w:val="22"/>
          <w:szCs w:val="22"/>
        </w:rPr>
        <w:t>, capable of improving underground situational awareness while supporting more effective fleet management and incident response.</w:t>
      </w:r>
    </w:p>
    <w:p w14:paraId="76848391" w14:textId="5EB7E608" w:rsidR="00D07125" w:rsidRPr="00D07125" w:rsidRDefault="00D07125" w:rsidP="00D07125">
      <w:pPr>
        <w:pStyle w:val="isselectedend"/>
        <w:rPr>
          <w:sz w:val="22"/>
          <w:szCs w:val="22"/>
        </w:rPr>
      </w:pPr>
      <w:r w:rsidRPr="00D07125">
        <w:rPr>
          <w:sz w:val="22"/>
          <w:szCs w:val="22"/>
        </w:rPr>
        <w:t>MineGlow’s LED strip lighting systems</w:t>
      </w:r>
      <w:r w:rsidR="00E94EC8">
        <w:rPr>
          <w:sz w:val="22"/>
          <w:szCs w:val="22"/>
        </w:rPr>
        <w:t>, used extensively in Australian mining operations</w:t>
      </w:r>
      <w:r w:rsidR="001F0BC7">
        <w:rPr>
          <w:sz w:val="22"/>
          <w:szCs w:val="22"/>
        </w:rPr>
        <w:t xml:space="preserve"> today,</w:t>
      </w:r>
      <w:r w:rsidRPr="00D07125">
        <w:rPr>
          <w:sz w:val="22"/>
          <w:szCs w:val="22"/>
        </w:rPr>
        <w:t xml:space="preserve"> are purpose-built for underground mining environments, offering high-lumen output, energy efficiency, long operational life and minimal maintenance requirements while maintaining consistent illumination across long roadway distances.</w:t>
      </w:r>
    </w:p>
    <w:p w14:paraId="54B85938" w14:textId="77777777" w:rsidR="00D07125" w:rsidRPr="00D07125" w:rsidRDefault="00D07125" w:rsidP="00D07125">
      <w:pPr>
        <w:pStyle w:val="isselectedend"/>
        <w:rPr>
          <w:sz w:val="22"/>
          <w:szCs w:val="22"/>
        </w:rPr>
      </w:pPr>
      <w:r w:rsidRPr="00D07125">
        <w:rPr>
          <w:b/>
          <w:bCs/>
          <w:sz w:val="22"/>
          <w:szCs w:val="22"/>
        </w:rPr>
        <w:t>Roy Pater, Managing Director at MineGlow</w:t>
      </w:r>
      <w:r w:rsidRPr="00D07125">
        <w:rPr>
          <w:sz w:val="22"/>
          <w:szCs w:val="22"/>
        </w:rPr>
        <w:t>, said the collaboration brings new value to underground lighting infrastructure.</w:t>
      </w:r>
    </w:p>
    <w:p w14:paraId="3F43A9D0" w14:textId="4D920A72" w:rsidR="00D07125" w:rsidRPr="00D07125" w:rsidRDefault="00D07125" w:rsidP="00D07125">
      <w:pPr>
        <w:pStyle w:val="isselectedend"/>
        <w:rPr>
          <w:i/>
          <w:iCs/>
          <w:sz w:val="22"/>
          <w:szCs w:val="22"/>
        </w:rPr>
      </w:pPr>
      <w:r w:rsidRPr="00D07125">
        <w:rPr>
          <w:i/>
          <w:iCs/>
          <w:sz w:val="22"/>
          <w:szCs w:val="22"/>
        </w:rPr>
        <w:t>“MineGlow lighting has always been focused on improving visibility and creating safer working environments underground. By integrating with the HELIX platform, our lighting systems now become</w:t>
      </w:r>
      <w:r w:rsidR="00B47FE1">
        <w:rPr>
          <w:i/>
          <w:iCs/>
          <w:sz w:val="22"/>
          <w:szCs w:val="22"/>
        </w:rPr>
        <w:t>s</w:t>
      </w:r>
      <w:r w:rsidRPr="00D07125">
        <w:rPr>
          <w:i/>
          <w:iCs/>
          <w:sz w:val="22"/>
          <w:szCs w:val="22"/>
        </w:rPr>
        <w:t xml:space="preserve"> part of the mine’s digital ecosystem — not just illuminating the workplace but actively contributing to operational safety and communication.”</w:t>
      </w:r>
    </w:p>
    <w:p w14:paraId="21D65CB1" w14:textId="7639F422" w:rsidR="00D07125" w:rsidRPr="00D07125" w:rsidRDefault="60FE9D2B" w:rsidP="00D07125">
      <w:pPr>
        <w:pStyle w:val="isselectedend"/>
        <w:rPr>
          <w:sz w:val="22"/>
          <w:szCs w:val="22"/>
        </w:rPr>
      </w:pPr>
      <w:r w:rsidRPr="7555B3F8">
        <w:rPr>
          <w:b/>
          <w:bCs/>
          <w:sz w:val="22"/>
          <w:szCs w:val="22"/>
        </w:rPr>
        <w:t xml:space="preserve">Darryn Fisher, </w:t>
      </w:r>
      <w:r w:rsidR="44E9971A" w:rsidRPr="7555B3F8">
        <w:rPr>
          <w:b/>
          <w:bCs/>
          <w:sz w:val="22"/>
          <w:szCs w:val="22"/>
        </w:rPr>
        <w:t>Senior VP – Underground at</w:t>
      </w:r>
      <w:r w:rsidRPr="7555B3F8">
        <w:rPr>
          <w:b/>
          <w:bCs/>
          <w:sz w:val="22"/>
          <w:szCs w:val="22"/>
        </w:rPr>
        <w:t xml:space="preserve"> MST Global</w:t>
      </w:r>
      <w:r w:rsidRPr="7555B3F8">
        <w:rPr>
          <w:sz w:val="22"/>
          <w:szCs w:val="22"/>
        </w:rPr>
        <w:t>, said the integration reflects the industry’s move toward connected underground operations.</w:t>
      </w:r>
    </w:p>
    <w:p w14:paraId="37AEBAC2" w14:textId="77777777" w:rsidR="00D07125" w:rsidRPr="00D07125" w:rsidRDefault="00D07125" w:rsidP="00D07125">
      <w:pPr>
        <w:pStyle w:val="isselectedend"/>
        <w:rPr>
          <w:i/>
          <w:iCs/>
          <w:sz w:val="22"/>
          <w:szCs w:val="22"/>
        </w:rPr>
      </w:pPr>
      <w:r w:rsidRPr="00D07125">
        <w:rPr>
          <w:i/>
          <w:iCs/>
          <w:sz w:val="22"/>
          <w:szCs w:val="22"/>
        </w:rPr>
        <w:lastRenderedPageBreak/>
        <w:t>“HELIX is designed to unify critical operational systems into a single digital environment that improves visibility, decision-making and safety. Integrating MineGlow’s lighting technology allows mines to leverage existing infrastructure in a new way — turning lighting into a smart signalling layer that enhances fleet coordination, situational awareness and operational safety.”</w:t>
      </w:r>
    </w:p>
    <w:p w14:paraId="453F70C1" w14:textId="77777777" w:rsidR="00D07125" w:rsidRDefault="00D07125" w:rsidP="00D07125">
      <w:pPr>
        <w:pStyle w:val="isselectedend"/>
        <w:rPr>
          <w:sz w:val="22"/>
          <w:szCs w:val="22"/>
        </w:rPr>
      </w:pPr>
      <w:r w:rsidRPr="00D07125">
        <w:rPr>
          <w:sz w:val="22"/>
          <w:szCs w:val="22"/>
        </w:rPr>
        <w:t>The smart lighting integration further expands the HELIX ecosystem by enabling mines to leverage lighting infrastructure as part of a broader digital safety and operational management strategy. By combining advanced illumination, real-time operational data and intelligent signalling, the solution helps mines create safer, more responsive underground environments while advancing the industry’s commitment to safer, more transparent operations.</w:t>
      </w:r>
    </w:p>
    <w:p w14:paraId="2807B7AB" w14:textId="77777777" w:rsidR="00594F36" w:rsidRPr="000E1888" w:rsidRDefault="00594F36" w:rsidP="00594F36">
      <w:pPr>
        <w:pStyle w:val="isselectedend"/>
        <w:spacing w:after="0" w:afterAutospacing="0"/>
        <w:rPr>
          <w:b/>
          <w:bCs/>
          <w:sz w:val="22"/>
          <w:szCs w:val="22"/>
        </w:rPr>
      </w:pPr>
      <w:r w:rsidRPr="000E1888">
        <w:rPr>
          <w:b/>
          <w:bCs/>
          <w:sz w:val="22"/>
          <w:szCs w:val="22"/>
        </w:rPr>
        <w:t>About MST Global</w:t>
      </w:r>
    </w:p>
    <w:p w14:paraId="4B1DD929" w14:textId="32AF9956" w:rsidR="00594F36" w:rsidRPr="001812E1" w:rsidRDefault="00594F36" w:rsidP="00594F36">
      <w:pPr>
        <w:pStyle w:val="isselectedend"/>
      </w:pPr>
      <w:r>
        <w:t xml:space="preserve">MST Global has evolved from its founding in Australia in 1989 into a global provider of advanced mining technology. </w:t>
      </w:r>
      <w:r w:rsidRPr="000E1888">
        <w:t>Today, MST Global’s digital ecosystem combines HELIX enterprise software, AXON connectivity, tracking, telemetry, fleet management, IoT, automation, and communications technologies to provide real-time visibility and control. By capturing and contextualising data from personnel, vehicles, sensors, and infrastructure, MST Global enables safer decision-making, improved operational awareness, and more efficient mine management.</w:t>
      </w:r>
      <w:r>
        <w:t xml:space="preserve"> </w:t>
      </w:r>
      <w:r w:rsidRPr="000E1888">
        <w:t>Following its acquisition by Komatsu in 2022, MST became part of a broader technology portfolio that complement</w:t>
      </w:r>
      <w:r>
        <w:t>s the</w:t>
      </w:r>
      <w:r w:rsidR="00420C5A">
        <w:t>ir</w:t>
      </w:r>
      <w:r>
        <w:t xml:space="preserve"> underground </w:t>
      </w:r>
      <w:r w:rsidRPr="000E1888">
        <w:t>mining capabilities</w:t>
      </w:r>
      <w:r>
        <w:t xml:space="preserve">; further </w:t>
      </w:r>
      <w:r w:rsidRPr="000E1888">
        <w:t xml:space="preserve">strengthening </w:t>
      </w:r>
      <w:r w:rsidR="009F7804">
        <w:t>the</w:t>
      </w:r>
      <w:r w:rsidRPr="000E1888">
        <w:t xml:space="preserve"> ability to deliver scalable, future-ready solutions for safer, more productive, and more connected mining operations.</w:t>
      </w:r>
    </w:p>
    <w:p w14:paraId="2716DF08" w14:textId="77777777" w:rsidR="00D07125" w:rsidRDefault="00D07125" w:rsidP="00D07125">
      <w:pPr>
        <w:pStyle w:val="isselectedend"/>
        <w:rPr>
          <w:sz w:val="22"/>
          <w:szCs w:val="22"/>
        </w:rPr>
      </w:pPr>
    </w:p>
    <w:p w14:paraId="784533D5" w14:textId="1187CBB6" w:rsidR="00D07125" w:rsidRDefault="00121D27" w:rsidP="00121D27">
      <w:pPr>
        <w:pStyle w:val="isselectedend"/>
        <w:spacing w:before="0" w:beforeAutospacing="0" w:after="0" w:afterAutospacing="0"/>
        <w:rPr>
          <w:sz w:val="22"/>
          <w:szCs w:val="22"/>
        </w:rPr>
      </w:pPr>
      <w:r>
        <w:rPr>
          <w:sz w:val="22"/>
          <w:szCs w:val="22"/>
        </w:rPr>
        <w:t>Media Contact:</w:t>
      </w:r>
    </w:p>
    <w:p w14:paraId="6FE773CF" w14:textId="0B896F9F" w:rsidR="00121D27" w:rsidRDefault="00121D27" w:rsidP="00121D27">
      <w:pPr>
        <w:pStyle w:val="isselectedend"/>
        <w:spacing w:before="0" w:beforeAutospacing="0" w:after="0" w:afterAutospacing="0"/>
        <w:rPr>
          <w:sz w:val="22"/>
          <w:szCs w:val="22"/>
        </w:rPr>
      </w:pPr>
      <w:r>
        <w:rPr>
          <w:sz w:val="22"/>
          <w:szCs w:val="22"/>
        </w:rPr>
        <w:t>Pauline Battersby</w:t>
      </w:r>
    </w:p>
    <w:p w14:paraId="38C1D908" w14:textId="55FEF7BF" w:rsidR="00121D27" w:rsidRDefault="00121D27" w:rsidP="00121D27">
      <w:pPr>
        <w:pStyle w:val="isselectedend"/>
        <w:spacing w:before="0" w:beforeAutospacing="0" w:after="0" w:afterAutospacing="0"/>
        <w:rPr>
          <w:sz w:val="22"/>
          <w:szCs w:val="22"/>
        </w:rPr>
      </w:pPr>
      <w:r>
        <w:rPr>
          <w:sz w:val="22"/>
          <w:szCs w:val="22"/>
        </w:rPr>
        <w:t>Global Marketing &amp; Communications</w:t>
      </w:r>
    </w:p>
    <w:p w14:paraId="2ED4E225" w14:textId="0AC1E974" w:rsidR="00121D27" w:rsidRDefault="00121D27" w:rsidP="00121D27">
      <w:pPr>
        <w:pStyle w:val="isselectedend"/>
        <w:spacing w:before="0" w:beforeAutospacing="0" w:after="0" w:afterAutospacing="0"/>
        <w:rPr>
          <w:sz w:val="22"/>
          <w:szCs w:val="22"/>
        </w:rPr>
      </w:pPr>
      <w:r>
        <w:rPr>
          <w:sz w:val="22"/>
          <w:szCs w:val="22"/>
        </w:rPr>
        <w:t>MST Global</w:t>
      </w:r>
    </w:p>
    <w:p w14:paraId="4E47A4DB" w14:textId="7892AC40" w:rsidR="00121D27" w:rsidRDefault="00121D27" w:rsidP="00121D27">
      <w:pPr>
        <w:pStyle w:val="isselectedend"/>
        <w:spacing w:before="0" w:beforeAutospacing="0" w:after="0" w:afterAutospacing="0"/>
        <w:rPr>
          <w:sz w:val="22"/>
          <w:szCs w:val="22"/>
        </w:rPr>
      </w:pPr>
      <w:r>
        <w:rPr>
          <w:sz w:val="22"/>
          <w:szCs w:val="22"/>
        </w:rPr>
        <w:t>globalmarketing@mstglobal.com</w:t>
      </w:r>
    </w:p>
    <w:p w14:paraId="282A0FE7" w14:textId="77777777" w:rsidR="00121D27" w:rsidRDefault="00121D27" w:rsidP="00121D27">
      <w:pPr>
        <w:pStyle w:val="isselectedend"/>
        <w:spacing w:before="0" w:beforeAutospacing="0" w:after="0" w:afterAutospacing="0"/>
        <w:rPr>
          <w:sz w:val="22"/>
          <w:szCs w:val="22"/>
        </w:rPr>
      </w:pPr>
    </w:p>
    <w:p w14:paraId="61C5166B" w14:textId="254BAFFE" w:rsidR="00121D27" w:rsidRDefault="00121D27" w:rsidP="00D07125">
      <w:pPr>
        <w:pStyle w:val="isselectedend"/>
        <w:rPr>
          <w:sz w:val="22"/>
          <w:szCs w:val="22"/>
        </w:rPr>
      </w:pPr>
    </w:p>
    <w:p w14:paraId="79622EC3" w14:textId="77777777" w:rsidR="00121D27" w:rsidRDefault="00121D27" w:rsidP="00D07125">
      <w:pPr>
        <w:pStyle w:val="isselectedend"/>
        <w:rPr>
          <w:sz w:val="22"/>
          <w:szCs w:val="22"/>
        </w:rPr>
      </w:pPr>
    </w:p>
    <w:p w14:paraId="1FED121B" w14:textId="77777777" w:rsidR="00D07125" w:rsidRDefault="00D07125" w:rsidP="00D07125">
      <w:pPr>
        <w:pStyle w:val="isselectedend"/>
        <w:rPr>
          <w:sz w:val="22"/>
          <w:szCs w:val="22"/>
        </w:rPr>
      </w:pPr>
    </w:p>
    <w:p w14:paraId="02B42971" w14:textId="77777777" w:rsidR="00D07125" w:rsidRPr="00D07125" w:rsidRDefault="00D07125" w:rsidP="00D07125">
      <w:pPr>
        <w:pStyle w:val="isselectedend"/>
        <w:rPr>
          <w:sz w:val="22"/>
          <w:szCs w:val="22"/>
        </w:rPr>
      </w:pPr>
    </w:p>
    <w:p w14:paraId="26C278D0" w14:textId="7126BF44" w:rsidR="00ED606E" w:rsidRDefault="00ED606E" w:rsidP="00D07125">
      <w:pPr>
        <w:pStyle w:val="isselectedend"/>
      </w:pPr>
    </w:p>
    <w:sectPr w:rsidR="00ED60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125"/>
    <w:rsid w:val="0000308F"/>
    <w:rsid w:val="00044F55"/>
    <w:rsid w:val="00070789"/>
    <w:rsid w:val="00121D27"/>
    <w:rsid w:val="001C1901"/>
    <w:rsid w:val="001F0BC7"/>
    <w:rsid w:val="00236A8A"/>
    <w:rsid w:val="002B4098"/>
    <w:rsid w:val="002B6B19"/>
    <w:rsid w:val="00420C5A"/>
    <w:rsid w:val="004732AB"/>
    <w:rsid w:val="0051370F"/>
    <w:rsid w:val="0053527A"/>
    <w:rsid w:val="00590052"/>
    <w:rsid w:val="00594F36"/>
    <w:rsid w:val="005B7E94"/>
    <w:rsid w:val="006125A3"/>
    <w:rsid w:val="006D7CBD"/>
    <w:rsid w:val="00732FA4"/>
    <w:rsid w:val="0094289A"/>
    <w:rsid w:val="009A2825"/>
    <w:rsid w:val="009F7804"/>
    <w:rsid w:val="00A2156F"/>
    <w:rsid w:val="00B036B4"/>
    <w:rsid w:val="00B47FE1"/>
    <w:rsid w:val="00B5184B"/>
    <w:rsid w:val="00B545CE"/>
    <w:rsid w:val="00BC6BEB"/>
    <w:rsid w:val="00C247DC"/>
    <w:rsid w:val="00CF021D"/>
    <w:rsid w:val="00D07125"/>
    <w:rsid w:val="00D32C08"/>
    <w:rsid w:val="00DC5D70"/>
    <w:rsid w:val="00E32748"/>
    <w:rsid w:val="00E94EC8"/>
    <w:rsid w:val="00ED606E"/>
    <w:rsid w:val="00EE4BAF"/>
    <w:rsid w:val="075BC687"/>
    <w:rsid w:val="44E9971A"/>
    <w:rsid w:val="4588BD6F"/>
    <w:rsid w:val="60FE9D2B"/>
    <w:rsid w:val="6B161BBB"/>
    <w:rsid w:val="727701FD"/>
    <w:rsid w:val="7555B3F8"/>
    <w:rsid w:val="77AD45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13B42"/>
  <w15:chartTrackingRefBased/>
  <w15:docId w15:val="{7B5CB7C2-355B-4ADA-8874-167EA1DBC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AU"/>
    </w:rPr>
  </w:style>
  <w:style w:type="paragraph" w:styleId="Heading1">
    <w:name w:val="heading 1"/>
    <w:basedOn w:val="Normal"/>
    <w:next w:val="Normal"/>
    <w:link w:val="Heading1Char"/>
    <w:uiPriority w:val="9"/>
    <w:qFormat/>
    <w:rsid w:val="00D071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71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71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71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71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71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71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71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71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71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71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71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71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71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71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71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71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7125"/>
    <w:rPr>
      <w:rFonts w:eastAsiaTheme="majorEastAsia" w:cstheme="majorBidi"/>
      <w:color w:val="272727" w:themeColor="text1" w:themeTint="D8"/>
    </w:rPr>
  </w:style>
  <w:style w:type="paragraph" w:styleId="Title">
    <w:name w:val="Title"/>
    <w:basedOn w:val="Normal"/>
    <w:next w:val="Normal"/>
    <w:link w:val="TitleChar"/>
    <w:uiPriority w:val="10"/>
    <w:qFormat/>
    <w:rsid w:val="00D071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71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71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71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7125"/>
    <w:pPr>
      <w:spacing w:before="160"/>
      <w:jc w:val="center"/>
    </w:pPr>
    <w:rPr>
      <w:i/>
      <w:iCs/>
      <w:color w:val="404040" w:themeColor="text1" w:themeTint="BF"/>
    </w:rPr>
  </w:style>
  <w:style w:type="character" w:customStyle="1" w:styleId="QuoteChar">
    <w:name w:val="Quote Char"/>
    <w:basedOn w:val="DefaultParagraphFont"/>
    <w:link w:val="Quote"/>
    <w:uiPriority w:val="29"/>
    <w:rsid w:val="00D07125"/>
    <w:rPr>
      <w:i/>
      <w:iCs/>
      <w:color w:val="404040" w:themeColor="text1" w:themeTint="BF"/>
    </w:rPr>
  </w:style>
  <w:style w:type="paragraph" w:styleId="ListParagraph">
    <w:name w:val="List Paragraph"/>
    <w:basedOn w:val="Normal"/>
    <w:uiPriority w:val="34"/>
    <w:qFormat/>
    <w:rsid w:val="00D07125"/>
    <w:pPr>
      <w:ind w:left="720"/>
      <w:contextualSpacing/>
    </w:pPr>
  </w:style>
  <w:style w:type="character" w:styleId="IntenseEmphasis">
    <w:name w:val="Intense Emphasis"/>
    <w:basedOn w:val="DefaultParagraphFont"/>
    <w:uiPriority w:val="21"/>
    <w:qFormat/>
    <w:rsid w:val="00D07125"/>
    <w:rPr>
      <w:i/>
      <w:iCs/>
      <w:color w:val="0F4761" w:themeColor="accent1" w:themeShade="BF"/>
    </w:rPr>
  </w:style>
  <w:style w:type="paragraph" w:styleId="IntenseQuote">
    <w:name w:val="Intense Quote"/>
    <w:basedOn w:val="Normal"/>
    <w:next w:val="Normal"/>
    <w:link w:val="IntenseQuoteChar"/>
    <w:uiPriority w:val="30"/>
    <w:qFormat/>
    <w:rsid w:val="00D071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7125"/>
    <w:rPr>
      <w:i/>
      <w:iCs/>
      <w:color w:val="0F4761" w:themeColor="accent1" w:themeShade="BF"/>
    </w:rPr>
  </w:style>
  <w:style w:type="character" w:styleId="IntenseReference">
    <w:name w:val="Intense Reference"/>
    <w:basedOn w:val="DefaultParagraphFont"/>
    <w:uiPriority w:val="32"/>
    <w:qFormat/>
    <w:rsid w:val="00D07125"/>
    <w:rPr>
      <w:b/>
      <w:bCs/>
      <w:smallCaps/>
      <w:color w:val="0F4761" w:themeColor="accent1" w:themeShade="BF"/>
      <w:spacing w:val="5"/>
    </w:rPr>
  </w:style>
  <w:style w:type="paragraph" w:customStyle="1" w:styleId="isselectedend">
    <w:name w:val="isselectedend"/>
    <w:basedOn w:val="Normal"/>
    <w:rsid w:val="00D0712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D07125"/>
    <w:rPr>
      <w:b/>
      <w:bCs/>
    </w:rPr>
  </w:style>
  <w:style w:type="character" w:customStyle="1" w:styleId="text-token-text-primary">
    <w:name w:val="text-token-text-primary"/>
    <w:basedOn w:val="DefaultParagraphFont"/>
    <w:rsid w:val="00D07125"/>
  </w:style>
  <w:style w:type="paragraph" w:styleId="NormalWeb">
    <w:name w:val="Normal (Web)"/>
    <w:basedOn w:val="Normal"/>
    <w:uiPriority w:val="99"/>
    <w:unhideWhenUsed/>
    <w:rsid w:val="00D07125"/>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Revision">
    <w:name w:val="Revision"/>
    <w:hidden/>
    <w:uiPriority w:val="99"/>
    <w:semiHidden/>
    <w:rsid w:val="00B518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2efd51d-0622-4e95-8609-94c89c2b64e1" xsi:nil="true"/>
    <lcf76f155ced4ddcb4097134ff3c332f xmlns="e6b6d4ca-a3de-428b-b4d6-ebe0f3224b9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DE827E548C0B644946AD399FF764C8A" ma:contentTypeVersion="13" ma:contentTypeDescription="Create a new document." ma:contentTypeScope="" ma:versionID="5e6bf23cbfb55f55981352ce08b8df35">
  <xsd:schema xmlns:xsd="http://www.w3.org/2001/XMLSchema" xmlns:xs="http://www.w3.org/2001/XMLSchema" xmlns:p="http://schemas.microsoft.com/office/2006/metadata/properties" xmlns:ns2="e6b6d4ca-a3de-428b-b4d6-ebe0f3224b95" xmlns:ns3="22efd51d-0622-4e95-8609-94c89c2b64e1" targetNamespace="http://schemas.microsoft.com/office/2006/metadata/properties" ma:root="true" ma:fieldsID="e475acb7e62c5fd887ce06cfdaa89775" ns2:_="" ns3:_="">
    <xsd:import namespace="e6b6d4ca-a3de-428b-b4d6-ebe0f3224b95"/>
    <xsd:import namespace="22efd51d-0622-4e95-8609-94c89c2b64e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b6d4ca-a3de-428b-b4d6-ebe0f3224b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a751546-2756-4179-87be-92b62af7ffa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efd51d-0622-4e95-8609-94c89c2b64e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2c59098-d9fe-4af7-a672-4ad9713dc144}" ma:internalName="TaxCatchAll" ma:showField="CatchAllData" ma:web="22efd51d-0622-4e95-8609-94c89c2b64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2E2CC2-AD3E-4C8D-9B45-3A2102AE898E}">
  <ds:schemaRefs>
    <ds:schemaRef ds:uri="http://schemas.microsoft.com/office/2006/metadata/properties"/>
    <ds:schemaRef ds:uri="http://schemas.microsoft.com/office/infopath/2007/PartnerControls"/>
    <ds:schemaRef ds:uri="22efd51d-0622-4e95-8609-94c89c2b64e1"/>
    <ds:schemaRef ds:uri="e6b6d4ca-a3de-428b-b4d6-ebe0f3224b95"/>
  </ds:schemaRefs>
</ds:datastoreItem>
</file>

<file path=customXml/itemProps2.xml><?xml version="1.0" encoding="utf-8"?>
<ds:datastoreItem xmlns:ds="http://schemas.openxmlformats.org/officeDocument/2006/customXml" ds:itemID="{10D15AF2-6162-424F-98F3-090D8C4129FD}">
  <ds:schemaRefs>
    <ds:schemaRef ds:uri="http://schemas.microsoft.com/sharepoint/v3/contenttype/forms"/>
  </ds:schemaRefs>
</ds:datastoreItem>
</file>

<file path=customXml/itemProps3.xml><?xml version="1.0" encoding="utf-8"?>
<ds:datastoreItem xmlns:ds="http://schemas.openxmlformats.org/officeDocument/2006/customXml" ds:itemID="{AA2B5D70-C970-419E-A890-2F9094C090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b6d4ca-a3de-428b-b4d6-ebe0f3224b95"/>
    <ds:schemaRef ds:uri="22efd51d-0622-4e95-8609-94c89c2b64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731</Words>
  <Characters>4168</Characters>
  <Application>Microsoft Office Word</Application>
  <DocSecurity>0</DocSecurity>
  <Lines>34</Lines>
  <Paragraphs>9</Paragraphs>
  <ScaleCrop>false</ScaleCrop>
  <Company/>
  <LinksUpToDate>false</LinksUpToDate>
  <CharactersWithSpaces>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Battersby</dc:creator>
  <cp:keywords/>
  <dc:description/>
  <cp:lastModifiedBy>Pauline Battersby</cp:lastModifiedBy>
  <cp:revision>7</cp:revision>
  <dcterms:created xsi:type="dcterms:W3CDTF">2026-04-27T03:50:00Z</dcterms:created>
  <dcterms:modified xsi:type="dcterms:W3CDTF">2026-05-08T02:57:00Z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0x010100BDE827E548C0B644946AD399FF764C8A</vt:lpwstr>
  </property>
  <property fmtid="{D5CDD505-2E9C-101B-9397-08002B2CF9AE}" pid="3" name="MediaServiceImageTags">
    <vt:lpwstr/>
  </property>
</Properties>
</file>